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A2" w:rsidRDefault="001F06A2" w:rsidP="00F90439"/>
    <w:tbl>
      <w:tblPr>
        <w:tblStyle w:val="Siatkatabeli"/>
        <w:tblW w:w="10172" w:type="dxa"/>
        <w:tblLook w:val="01E0" w:firstRow="1" w:lastRow="1" w:firstColumn="1" w:lastColumn="1" w:noHBand="0" w:noVBand="0"/>
      </w:tblPr>
      <w:tblGrid>
        <w:gridCol w:w="1716"/>
        <w:gridCol w:w="2928"/>
        <w:gridCol w:w="2835"/>
        <w:gridCol w:w="2693"/>
      </w:tblGrid>
      <w:tr w:rsidR="00F90439" w:rsidRPr="007F5B6A" w:rsidTr="00AA28BD">
        <w:tc>
          <w:tcPr>
            <w:tcW w:w="1716" w:type="dxa"/>
            <w:vAlign w:val="center"/>
          </w:tcPr>
          <w:p w:rsidR="00F90439" w:rsidRPr="007F5B6A" w:rsidRDefault="00F90439" w:rsidP="00F90439">
            <w:pPr>
              <w:rPr>
                <w:b/>
              </w:rPr>
            </w:pPr>
            <w:r w:rsidRPr="007F5B6A">
              <w:rPr>
                <w:b/>
              </w:rPr>
              <w:t>Wyszczególnienie</w:t>
            </w:r>
          </w:p>
        </w:tc>
        <w:tc>
          <w:tcPr>
            <w:tcW w:w="2928" w:type="dxa"/>
            <w:vAlign w:val="center"/>
          </w:tcPr>
          <w:p w:rsidR="00F90439" w:rsidRPr="007F5B6A" w:rsidRDefault="00F90439" w:rsidP="00F90439">
            <w:pPr>
              <w:rPr>
                <w:b/>
              </w:rPr>
            </w:pPr>
            <w:r w:rsidRPr="007F5B6A">
              <w:rPr>
                <w:b/>
              </w:rPr>
              <w:t>Projekt Klubu Kukiz’15</w:t>
            </w:r>
          </w:p>
        </w:tc>
        <w:tc>
          <w:tcPr>
            <w:tcW w:w="2835" w:type="dxa"/>
            <w:vAlign w:val="center"/>
          </w:tcPr>
          <w:p w:rsidR="00F90439" w:rsidRPr="007F5B6A" w:rsidRDefault="00F90439" w:rsidP="00F90439">
            <w:pPr>
              <w:rPr>
                <w:b/>
              </w:rPr>
            </w:pPr>
            <w:r w:rsidRPr="007F5B6A">
              <w:rPr>
                <w:b/>
              </w:rPr>
              <w:t>Projekt Komisyjny</w:t>
            </w:r>
          </w:p>
        </w:tc>
        <w:tc>
          <w:tcPr>
            <w:tcW w:w="2693" w:type="dxa"/>
            <w:vAlign w:val="center"/>
          </w:tcPr>
          <w:p w:rsidR="00F90439" w:rsidRPr="007F5B6A" w:rsidRDefault="00F90439" w:rsidP="00F90439">
            <w:pPr>
              <w:rPr>
                <w:b/>
              </w:rPr>
            </w:pPr>
            <w:r>
              <w:rPr>
                <w:b/>
              </w:rPr>
              <w:t>Projekt Klubu PS</w:t>
            </w:r>
            <w:r w:rsidRPr="007F5B6A">
              <w:rPr>
                <w:b/>
              </w:rPr>
              <w:t>L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Obszar regulow</w:t>
            </w:r>
            <w:r>
              <w:t>a</w:t>
            </w:r>
            <w:r>
              <w:t>ny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Art. 29 – dotyczy wydzierżawi</w:t>
            </w:r>
            <w:r>
              <w:t>a</w:t>
            </w:r>
            <w:r>
              <w:t>nia obwodów łowieckich; art. 45a – w zakresie odstrzałów sanitarnych przy wystąpieniu chorób zakaźnych; art. 46 do 49 – całościowe podejście do szkód łowieckich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Art. 46 do 50 – całościowe podejście do szkód łowieckich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Art. 46 do 50 – całościowe podejście do szkód łowieckich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Status legislacy</w:t>
            </w:r>
            <w:r>
              <w:t>j</w:t>
            </w:r>
            <w:r>
              <w:t>ny na dzień 18-04-2016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Skierowany do konsultacji, w tym do Komisji Ustawodawczej  w związku z zarzutem niezgo</w:t>
            </w:r>
            <w:r>
              <w:t>d</w:t>
            </w:r>
            <w:r>
              <w:t>ności z prawem UE i Konstyt</w:t>
            </w:r>
            <w:r>
              <w:t>u</w:t>
            </w:r>
            <w:r>
              <w:t>cja; wniosek o uzupełnienie uz</w:t>
            </w:r>
            <w:r>
              <w:t>a</w:t>
            </w:r>
            <w:r>
              <w:t>sadnienia do projektu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Po pierwszym czytaniu w dniu 9 marca br., wprowadzono liczne poprawki; termin drugiego cz</w:t>
            </w:r>
            <w:r>
              <w:t>y</w:t>
            </w:r>
            <w:r>
              <w:t>tania przesunięto na koniec kwietnia br.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Po pierwszym czytaniu, skierowany do dalszych prac k</w:t>
            </w:r>
            <w:r>
              <w:t>o</w:t>
            </w:r>
            <w:r>
              <w:t>misyjnych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Proponowana forma finansow</w:t>
            </w:r>
            <w:r>
              <w:t>a</w:t>
            </w:r>
            <w:r>
              <w:t>nia szkód łowie</w:t>
            </w:r>
            <w:r>
              <w:t>c</w:t>
            </w:r>
            <w:r>
              <w:t>kich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Łowiecki Fundusz Rekompens</w:t>
            </w:r>
            <w:r>
              <w:t>a</w:t>
            </w:r>
            <w:r>
              <w:t>cyjny tworzony ze środków b</w:t>
            </w:r>
            <w:r>
              <w:t>u</w:t>
            </w:r>
            <w:r>
              <w:t>dżetu Państwa oraz kwoty 50% wartości odszkodowania wypł</w:t>
            </w:r>
            <w:r>
              <w:t>a</w:t>
            </w:r>
            <w:r>
              <w:t>conego w roku poprzednim, jednak nie więcej niż 70 mln. zł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 xml:space="preserve">Fundusz Odszkodowawczy tworzony z rocznych składek kół łowieckich w wysokości nie większej niż 0,1 </w:t>
            </w:r>
            <w:proofErr w:type="spellStart"/>
            <w:r>
              <w:t>dt</w:t>
            </w:r>
            <w:proofErr w:type="spellEnd"/>
            <w:r>
              <w:t xml:space="preserve"> żyta za 1 ha obwodu łowieckiego oraz dot</w:t>
            </w:r>
            <w:r>
              <w:t>a</w:t>
            </w:r>
            <w:r>
              <w:t xml:space="preserve">cji budżetu Państwa – roczny budżet ustalany co roku przez </w:t>
            </w:r>
            <w:proofErr w:type="spellStart"/>
            <w:r>
              <w:t>MRiRW</w:t>
            </w:r>
            <w:proofErr w:type="spellEnd"/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Nie tworzy się odrębnego funduszu; Skarb Państwa zwraca 50% kwoty wypłac</w:t>
            </w:r>
            <w:r>
              <w:t>o</w:t>
            </w:r>
            <w:r>
              <w:t>nych przez koła łowieckie odszkodowań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Zakres odpowi</w:t>
            </w:r>
            <w:r>
              <w:t>e</w:t>
            </w:r>
            <w:r>
              <w:t>dzialności za szkody łowieckie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Jak dotychczas – 5 gatunków zwierzyny grubej; nie odniesiono się do szkód podczas polowania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Jak dotychczas – 5 gatunków zwierzyny grubej oraz podczas polowania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Wszystkie zwierzęta łowne w uprawach i płodach rolnych oraz w obwodach rybackich; nie odniesiono się do szkód podczas polowania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Rodzaj odszk</w:t>
            </w:r>
            <w:r>
              <w:t>o</w:t>
            </w:r>
            <w:r>
              <w:t>dowania (wyn</w:t>
            </w:r>
            <w:r>
              <w:t>a</w:t>
            </w:r>
            <w:r>
              <w:t>grodzenia za szkody)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Nie określono wprost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Nie określono wprost – ma być to określone w rozporządzeniu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Pełne odszkodowanie, zgodnie z zasadami KC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Sankcje za niew</w:t>
            </w:r>
            <w:r>
              <w:t>y</w:t>
            </w:r>
            <w:r>
              <w:t>konanie planu łowieckiego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25% zwiększenia składki KŁ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Proporcjonalnie do niezrealiz</w:t>
            </w:r>
            <w:r>
              <w:t>o</w:t>
            </w:r>
            <w:r>
              <w:t>wanego planu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20% zwiększenia wpłaty do budżetu przy niewykonaniu planu o max. 20%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Szkody poza obwodem łowie</w:t>
            </w:r>
            <w:r>
              <w:t>c</w:t>
            </w:r>
            <w:r>
              <w:t>kim</w:t>
            </w:r>
          </w:p>
        </w:tc>
        <w:tc>
          <w:tcPr>
            <w:tcW w:w="8456" w:type="dxa"/>
            <w:gridSpan w:val="3"/>
            <w:vAlign w:val="center"/>
          </w:tcPr>
          <w:p w:rsidR="00F90439" w:rsidRDefault="00F90439" w:rsidP="00F90439">
            <w:r>
              <w:t>Tak jak dotychczas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Miejsce zgłosz</w:t>
            </w:r>
            <w:r>
              <w:t>e</w:t>
            </w:r>
            <w:r>
              <w:t>nia szkody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Nie określono – domyślnie wł</w:t>
            </w:r>
            <w:r>
              <w:t>a</w:t>
            </w:r>
            <w:r>
              <w:t>ściwy wojewoda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Wójt, burmistrz, prezydent, 7 dni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Tak, jak dotychczas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Kto szacuje szk</w:t>
            </w:r>
            <w:r>
              <w:t>o</w:t>
            </w:r>
            <w:r>
              <w:t>dę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Przedstawiciel wojewody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Przedstawiciel wojewody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Tak, jak dotychczas, Prze</w:t>
            </w:r>
            <w:r>
              <w:t>d</w:t>
            </w:r>
            <w:r>
              <w:t>stawiciel Koła łowieckiego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Metodyka szac</w:t>
            </w:r>
            <w:r>
              <w:t>o</w:t>
            </w:r>
            <w:r>
              <w:t>wania szkody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Nie określono; odwołanie do rozporządzenia tylko w zakresie wzoru protokołu szacowania – nie ma projektu rozporządzeń wykonawczych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odwołanie do rozporządzenia określającego zasady szacow</w:t>
            </w:r>
            <w:r>
              <w:t>a</w:t>
            </w:r>
            <w:r>
              <w:t>nia oraz  w zakresie wzoru pr</w:t>
            </w:r>
            <w:r>
              <w:t>o</w:t>
            </w:r>
            <w:r>
              <w:t>tokołu szacowania – nie ma projektu rozporządzeń wyk</w:t>
            </w:r>
            <w:r>
              <w:t>o</w:t>
            </w:r>
            <w:r>
              <w:t>nawczych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Tak, jak dotychczas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Forma admin</w:t>
            </w:r>
            <w:r>
              <w:t>i</w:t>
            </w:r>
            <w:r>
              <w:t>stracyjna szac</w:t>
            </w:r>
            <w:r>
              <w:t>o</w:t>
            </w:r>
            <w:r>
              <w:t>wania szkody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Decyzja administracyjna woj</w:t>
            </w:r>
            <w:r>
              <w:t>e</w:t>
            </w:r>
            <w:r>
              <w:t>wody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Decyzja administracyjna woj</w:t>
            </w:r>
            <w:r>
              <w:t>e</w:t>
            </w:r>
            <w:r>
              <w:t>wody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Tak, jak dotychczas, forma ugodowa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>Procedura odw</w:t>
            </w:r>
            <w:r>
              <w:t>o</w:t>
            </w:r>
            <w:r>
              <w:t>ławcza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Tylko zastrzeżenia wnoszone w ciągu 7 dni; powództwo sądowe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Tak, w drodze operatu rzecz</w:t>
            </w:r>
            <w:r>
              <w:t>o</w:t>
            </w:r>
            <w:r>
              <w:t>znawcy, na zlecenie poszkod</w:t>
            </w:r>
            <w:r>
              <w:t>o</w:t>
            </w:r>
            <w:r>
              <w:t>wanego rolnika; powództwo sądowe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Nie ma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t xml:space="preserve">Obowiązek współpracy </w:t>
            </w:r>
            <w:r>
              <w:lastRenderedPageBreak/>
              <w:t>roln</w:t>
            </w:r>
            <w:r>
              <w:t>i</w:t>
            </w:r>
            <w:r>
              <w:t>ka z KŁ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lastRenderedPageBreak/>
              <w:t>Tak, jak dotychczas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Tak, jak dotychczas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Określony na nowo w proje</w:t>
            </w:r>
            <w:r>
              <w:t>k</w:t>
            </w:r>
            <w:r>
              <w:t>cie Ustawy</w:t>
            </w:r>
          </w:p>
        </w:tc>
      </w:tr>
      <w:tr w:rsidR="00F90439" w:rsidTr="00AA28BD">
        <w:tc>
          <w:tcPr>
            <w:tcW w:w="1716" w:type="dxa"/>
            <w:vAlign w:val="center"/>
          </w:tcPr>
          <w:p w:rsidR="00F90439" w:rsidRDefault="00F90439" w:rsidP="00F90439">
            <w:r>
              <w:lastRenderedPageBreak/>
              <w:t>Planowany termin wejścia w życie</w:t>
            </w:r>
          </w:p>
        </w:tc>
        <w:tc>
          <w:tcPr>
            <w:tcW w:w="2928" w:type="dxa"/>
            <w:vAlign w:val="center"/>
          </w:tcPr>
          <w:p w:rsidR="00F90439" w:rsidRDefault="00F90439" w:rsidP="00F90439">
            <w:r>
              <w:t>14 dni od dnia ogłoszenia</w:t>
            </w:r>
          </w:p>
        </w:tc>
        <w:tc>
          <w:tcPr>
            <w:tcW w:w="2835" w:type="dxa"/>
            <w:vAlign w:val="center"/>
          </w:tcPr>
          <w:p w:rsidR="00F90439" w:rsidRDefault="00F90439" w:rsidP="00F90439">
            <w:r>
              <w:t>1 czerwca 2016 r.</w:t>
            </w:r>
          </w:p>
        </w:tc>
        <w:tc>
          <w:tcPr>
            <w:tcW w:w="2693" w:type="dxa"/>
            <w:vAlign w:val="center"/>
          </w:tcPr>
          <w:p w:rsidR="00F90439" w:rsidRDefault="00F90439" w:rsidP="00F90439">
            <w:r>
              <w:t>3 miesiące od dnia ogłoszenia</w:t>
            </w:r>
          </w:p>
        </w:tc>
      </w:tr>
    </w:tbl>
    <w:p w:rsidR="00F90439" w:rsidRDefault="00F90439" w:rsidP="00F90439">
      <w:r>
        <w:t>Opr. Roman Włodarz. Copyright: top agrar Pol</w:t>
      </w:r>
      <w:bookmarkStart w:id="0" w:name="_GoBack"/>
      <w:bookmarkEnd w:id="0"/>
      <w:r>
        <w:t>ska</w:t>
      </w:r>
    </w:p>
    <w:p w:rsidR="00F90439" w:rsidRDefault="00F90439" w:rsidP="00F90439"/>
    <w:sectPr w:rsidR="00F90439" w:rsidSect="003D08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39"/>
    <w:rsid w:val="001F06A2"/>
    <w:rsid w:val="003D08B2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09ED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39"/>
    <w:rPr>
      <w:rFonts w:ascii="Times New Roman" w:eastAsia="Times New Roman" w:hAnsi="Times New Roman" w:cs="Times New Roman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F9043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39"/>
    <w:rPr>
      <w:rFonts w:ascii="Times New Roman" w:eastAsia="Times New Roman" w:hAnsi="Times New Roman" w:cs="Times New Roman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rsid w:val="00F9043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2781</Characters>
  <Application>Microsoft Macintosh Word</Application>
  <DocSecurity>0</DocSecurity>
  <Lines>23</Lines>
  <Paragraphs>6</Paragraphs>
  <ScaleCrop>false</ScaleCrop>
  <Company>Polskie Wydawnictwo Rolnicze Sp. z o.o.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Luczak</dc:creator>
  <cp:keywords/>
  <dc:description/>
  <cp:lastModifiedBy>Piotr Luczak</cp:lastModifiedBy>
  <cp:revision>1</cp:revision>
  <dcterms:created xsi:type="dcterms:W3CDTF">2016-04-22T11:59:00Z</dcterms:created>
  <dcterms:modified xsi:type="dcterms:W3CDTF">2016-04-22T12:00:00Z</dcterms:modified>
</cp:coreProperties>
</file>